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AEE2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D8C017F" w14:textId="77777777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8815D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Ginekoloģiskā krēsla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F225202" w14:textId="77777777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8815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42B0EDA5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9A165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33B23CB0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D159FC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FE86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7ECD504C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CEF5E4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106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2FD50A12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8E6581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BCEF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1AF027F0" w14:textId="77777777" w:rsidR="00774C64" w:rsidRPr="009C0893" w:rsidRDefault="00774C64" w:rsidP="009C0893">
      <w:pPr>
        <w:pStyle w:val="ListParagraph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8815DD">
        <w:rPr>
          <w:rFonts w:eastAsia="Calibri"/>
        </w:rPr>
        <w:t>ginekoloģiskā krēsla ieg</w:t>
      </w:r>
      <w:r w:rsidR="00205578">
        <w:rPr>
          <w:rFonts w:eastAsia="Calibri"/>
        </w:rPr>
        <w:t>ā</w:t>
      </w:r>
      <w:r w:rsidR="008815DD">
        <w:rPr>
          <w:rFonts w:eastAsia="Calibri"/>
        </w:rPr>
        <w:t>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0A38DC09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425E0170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2B69FA0F" w14:textId="77777777" w:rsidR="009A4256" w:rsidRDefault="00774C64" w:rsidP="009A4256">
      <w:pPr>
        <w:pStyle w:val="ListParagraph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1BAAD928" w14:textId="77777777" w:rsidR="009A4256" w:rsidRDefault="00774C64" w:rsidP="009A4256">
      <w:pPr>
        <w:pStyle w:val="ListParagraph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459A6DB" w14:textId="38448DE7" w:rsidR="00774C64" w:rsidRDefault="009A4256" w:rsidP="009A4256">
      <w:pPr>
        <w:pStyle w:val="ListParagraph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8815DD">
        <w:rPr>
          <w:rFonts w:eastAsia="Calibri"/>
          <w:b/>
        </w:rPr>
        <w:t>0</w:t>
      </w:r>
      <w:r w:rsidR="00F13199">
        <w:rPr>
          <w:rFonts w:eastAsia="Calibri"/>
          <w:b/>
        </w:rPr>
        <w:t>9</w:t>
      </w:r>
      <w:r w:rsidR="00774C64" w:rsidRPr="009A4256">
        <w:rPr>
          <w:rFonts w:eastAsia="Calibri"/>
          <w:b/>
        </w:rPr>
        <w:t xml:space="preserve">. </w:t>
      </w:r>
      <w:r w:rsidR="008815DD">
        <w:rPr>
          <w:rFonts w:eastAsia="Calibri"/>
          <w:b/>
        </w:rPr>
        <w:t>februāra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yperlink"/>
          </w:rPr>
          <w:t>jekaterina.tihomirova@bauskasslimnica.lv</w:t>
        </w:r>
      </w:hyperlink>
    </w:p>
    <w:p w14:paraId="7E62D26E" w14:textId="77777777" w:rsidR="009A4256" w:rsidRPr="009A4256" w:rsidRDefault="009A4256" w:rsidP="009A4256">
      <w:pPr>
        <w:pStyle w:val="ListParagraph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302FD2FA" w14:textId="77777777" w:rsidR="00774C64" w:rsidRDefault="00774C64" w:rsidP="00774C64">
      <w:pPr>
        <w:pStyle w:val="ListParagraph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35BD94F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8815DD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r w:rsidR="008815DD">
        <w:rPr>
          <w:rFonts w:ascii="Times New Roman" w:eastAsia="Times New Roman" w:hAnsi="Times New Roman" w:cs="Times New Roman"/>
          <w:b/>
          <w:sz w:val="24"/>
          <w:szCs w:val="24"/>
        </w:rPr>
        <w:t>vērtēšanas kritērijiem.</w:t>
      </w:r>
    </w:p>
    <w:p w14:paraId="4508A0E5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771150DF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6E58797D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339A1A0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64FA62A5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74A746E1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0571801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3840B85A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25ED344E" w14:textId="77777777" w:rsidR="00774C64" w:rsidRPr="008815DD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7FC657C" w14:textId="77777777" w:rsidR="008815DD" w:rsidRPr="008815DD" w:rsidRDefault="008815DD" w:rsidP="008815DD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48CE1505" w14:textId="77777777" w:rsidR="008815DD" w:rsidRDefault="008815DD" w:rsidP="008815DD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3D3EF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BBB3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36353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303F1A" w14:textId="77777777" w:rsidR="00EE7588" w:rsidRP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B132F5" w14:textId="476A90AE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Piedāvājuma izvēles kritērijs</w:t>
      </w:r>
    </w:p>
    <w:p w14:paraId="58FCC5A2" w14:textId="77777777" w:rsidR="008815DD" w:rsidRDefault="008815DD" w:rsidP="008815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3969"/>
      </w:tblGrid>
      <w:tr w:rsidR="008815DD" w:rsidRPr="008815DD" w14:paraId="3AA0F632" w14:textId="77777777" w:rsidTr="008815DD">
        <w:tc>
          <w:tcPr>
            <w:tcW w:w="3260" w:type="dxa"/>
            <w:shd w:val="clear" w:color="auto" w:fill="auto"/>
            <w:vAlign w:val="center"/>
          </w:tcPr>
          <w:p w14:paraId="7436AF97" w14:textId="77777777" w:rsidR="008815DD" w:rsidRPr="008815DD" w:rsidRDefault="008815DD" w:rsidP="008D0E95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B2897" w14:textId="77777777" w:rsidR="008815DD" w:rsidRPr="008815DD" w:rsidRDefault="008815DD" w:rsidP="008D0E95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 kritērijā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1290E" w14:textId="77777777" w:rsidR="008815DD" w:rsidRPr="008815DD" w:rsidRDefault="008815DD" w:rsidP="008D0E95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Punktu piešķiršanas nosacījumi</w:t>
            </w:r>
          </w:p>
        </w:tc>
      </w:tr>
      <w:tr w:rsidR="008815DD" w:rsidRPr="008815DD" w14:paraId="243F2FB3" w14:textId="77777777" w:rsidTr="008815DD">
        <w:tc>
          <w:tcPr>
            <w:tcW w:w="3260" w:type="dxa"/>
            <w:shd w:val="clear" w:color="auto" w:fill="auto"/>
            <w:vAlign w:val="center"/>
          </w:tcPr>
          <w:p w14:paraId="4C11BC99" w14:textId="77777777" w:rsidR="008815DD" w:rsidRPr="008815DD" w:rsidRDefault="008815DD" w:rsidP="008D0E95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bez PVN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7D0AA7" w14:textId="1E35CC2C" w:rsidR="008815DD" w:rsidRPr="008815DD" w:rsidRDefault="007A6EA7" w:rsidP="008D0E9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</w:tcPr>
          <w:p w14:paraId="5B0E9709" w14:textId="2770295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C52376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zemākā piedāvātā cena</w:t>
            </w:r>
          </w:p>
          <w:p w14:paraId="7AEE54FC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piedāvātā cena</w:t>
            </w:r>
          </w:p>
        </w:tc>
      </w:tr>
      <w:tr w:rsidR="008815DD" w:rsidRPr="008815DD" w14:paraId="22D49E3B" w14:textId="77777777" w:rsidTr="008815DD">
        <w:tc>
          <w:tcPr>
            <w:tcW w:w="3260" w:type="dxa"/>
            <w:shd w:val="clear" w:color="auto" w:fill="auto"/>
            <w:vAlign w:val="center"/>
          </w:tcPr>
          <w:p w14:paraId="2715AC16" w14:textId="77777777" w:rsidR="008815DD" w:rsidRPr="008815DD" w:rsidRDefault="008815DD" w:rsidP="008D0E95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Piedāvātais piegādes termiņš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779B77" w14:textId="29AC8959" w:rsidR="008815DD" w:rsidRPr="008815DD" w:rsidRDefault="007A6EA7" w:rsidP="008D0E9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14:paraId="5893E50B" w14:textId="498C877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C6B568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visīsākais piedāvātais piegādes termiņš</w:t>
            </w:r>
          </w:p>
          <w:p w14:paraId="2E2A2B87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proofErr w:type="spellEnd"/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vērtējamā piedāvājuma piedāvātais piegādes termiņš</w:t>
            </w:r>
          </w:p>
        </w:tc>
      </w:tr>
      <w:tr w:rsidR="008815DD" w:rsidRPr="008815DD" w14:paraId="59C418EB" w14:textId="77777777" w:rsidTr="008815DD">
        <w:trPr>
          <w:trHeight w:val="53"/>
        </w:trPr>
        <w:tc>
          <w:tcPr>
            <w:tcW w:w="9354" w:type="dxa"/>
            <w:gridSpan w:val="3"/>
            <w:shd w:val="clear" w:color="auto" w:fill="auto"/>
          </w:tcPr>
          <w:p w14:paraId="51C6FC26" w14:textId="77777777" w:rsidR="008815DD" w:rsidRPr="008815DD" w:rsidRDefault="008815DD" w:rsidP="008D0E9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Kopā: 100 punkti</w:t>
            </w:r>
          </w:p>
        </w:tc>
      </w:tr>
    </w:tbl>
    <w:p w14:paraId="52FCC46A" w14:textId="77777777" w:rsidR="00774C64" w:rsidRPr="002726D2" w:rsidRDefault="00774C64" w:rsidP="008815DD">
      <w:pPr>
        <w:numPr>
          <w:ilvl w:val="0"/>
          <w:numId w:val="3"/>
        </w:num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607F691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3A8AED4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EBD4CAD" w14:textId="7777777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8815D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Ginekoloģiskā krēsla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3F33762B" w14:textId="77777777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8815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34492A10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DF648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52A3BC9A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1F87A7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26E84649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6E873CDB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6806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A471774" w14:textId="77777777" w:rsidTr="000473AD">
        <w:trPr>
          <w:cantSplit/>
        </w:trPr>
        <w:tc>
          <w:tcPr>
            <w:tcW w:w="3539" w:type="dxa"/>
            <w:gridSpan w:val="2"/>
          </w:tcPr>
          <w:p w14:paraId="37DD1CB6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8A342D1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9AE41B3" w14:textId="77777777" w:rsidTr="000473AD">
        <w:trPr>
          <w:cantSplit/>
        </w:trPr>
        <w:tc>
          <w:tcPr>
            <w:tcW w:w="3539" w:type="dxa"/>
            <w:gridSpan w:val="2"/>
          </w:tcPr>
          <w:p w14:paraId="445B9A9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945E6A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5CD9AE2" w14:textId="77777777" w:rsidTr="000473AD">
        <w:trPr>
          <w:cantSplit/>
        </w:trPr>
        <w:tc>
          <w:tcPr>
            <w:tcW w:w="3539" w:type="dxa"/>
            <w:gridSpan w:val="2"/>
          </w:tcPr>
          <w:p w14:paraId="0D1B503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BE1F053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436A5C" w14:textId="77777777" w:rsidTr="000473AD">
        <w:trPr>
          <w:cantSplit/>
        </w:trPr>
        <w:tc>
          <w:tcPr>
            <w:tcW w:w="3539" w:type="dxa"/>
            <w:gridSpan w:val="2"/>
          </w:tcPr>
          <w:p w14:paraId="4BBBBE5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81310B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A0DC90" w14:textId="77777777" w:rsidTr="000473AD">
        <w:trPr>
          <w:cantSplit/>
        </w:trPr>
        <w:tc>
          <w:tcPr>
            <w:tcW w:w="3539" w:type="dxa"/>
            <w:gridSpan w:val="2"/>
          </w:tcPr>
          <w:p w14:paraId="4C540C89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71B7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9DB9728" w14:textId="77777777" w:rsidTr="000473AD">
        <w:trPr>
          <w:cantSplit/>
        </w:trPr>
        <w:tc>
          <w:tcPr>
            <w:tcW w:w="3539" w:type="dxa"/>
            <w:gridSpan w:val="2"/>
          </w:tcPr>
          <w:p w14:paraId="2E3A634B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000C1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1D3F1B2" w14:textId="77777777" w:rsidTr="000473AD">
        <w:trPr>
          <w:cantSplit/>
        </w:trPr>
        <w:tc>
          <w:tcPr>
            <w:tcW w:w="3539" w:type="dxa"/>
            <w:gridSpan w:val="2"/>
          </w:tcPr>
          <w:p w14:paraId="0842AF1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1443C8F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80871F9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AEC18E7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3E840FBA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5C1E6F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14C81E2" w14:textId="77777777" w:rsidTr="000473AD">
        <w:trPr>
          <w:cantSplit/>
        </w:trPr>
        <w:tc>
          <w:tcPr>
            <w:tcW w:w="3539" w:type="dxa"/>
            <w:gridSpan w:val="2"/>
          </w:tcPr>
          <w:p w14:paraId="07093BCC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0847A886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018E4FC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16157C4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C0037EE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F1FA4BF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B3670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6EB21A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2828EBF2" w14:textId="77777777" w:rsidTr="000473AD">
        <w:trPr>
          <w:cantSplit/>
        </w:trPr>
        <w:tc>
          <w:tcPr>
            <w:tcW w:w="2189" w:type="dxa"/>
          </w:tcPr>
          <w:p w14:paraId="3184AB13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9A3B378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9621BBE" w14:textId="77777777" w:rsidTr="000473AD">
        <w:trPr>
          <w:cantSplit/>
        </w:trPr>
        <w:tc>
          <w:tcPr>
            <w:tcW w:w="2189" w:type="dxa"/>
          </w:tcPr>
          <w:p w14:paraId="44F0653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83264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5D1F0F" w14:textId="77777777" w:rsidTr="000473AD">
        <w:trPr>
          <w:cantSplit/>
        </w:trPr>
        <w:tc>
          <w:tcPr>
            <w:tcW w:w="2189" w:type="dxa"/>
          </w:tcPr>
          <w:p w14:paraId="63CF13B3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3A567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EB33570" w14:textId="77777777" w:rsidTr="000473AD">
        <w:trPr>
          <w:cantSplit/>
        </w:trPr>
        <w:tc>
          <w:tcPr>
            <w:tcW w:w="2189" w:type="dxa"/>
          </w:tcPr>
          <w:p w14:paraId="717D5697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06FDE61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15C974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E30B9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8FFEAEA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CE41EAD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799C81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72236F3D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75C98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C1BAAE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67F4A3F0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46F62A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029A03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1ACC774C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F422A58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85F4AFC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E183AA2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109589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E98FC6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28E47AB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605DC4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F9D83C" w14:textId="77777777" w:rsidR="00105D09" w:rsidRDefault="00105D09"/>
    <w:sectPr w:rsidR="00105D09" w:rsidSect="00484878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CC0E" w14:textId="77777777" w:rsidR="00484878" w:rsidRDefault="00484878">
      <w:pPr>
        <w:spacing w:after="0" w:line="240" w:lineRule="auto"/>
      </w:pPr>
      <w:r>
        <w:separator/>
      </w:r>
    </w:p>
  </w:endnote>
  <w:endnote w:type="continuationSeparator" w:id="0">
    <w:p w14:paraId="0A05DDCE" w14:textId="77777777" w:rsidR="00484878" w:rsidRDefault="0048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0EC" w14:textId="77777777" w:rsidR="00655FC5" w:rsidRDefault="00655FC5" w:rsidP="00814722">
    <w:pPr>
      <w:pStyle w:val="Footer"/>
      <w:jc w:val="center"/>
    </w:pPr>
  </w:p>
  <w:p w14:paraId="225680E8" w14:textId="77777777" w:rsidR="00655FC5" w:rsidRDefault="00BD5488" w:rsidP="00814722">
    <w:pPr>
      <w:pStyle w:val="Footer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205578">
      <w:rPr>
        <w:noProof/>
      </w:rPr>
      <w:t>1</w:t>
    </w:r>
    <w:r w:rsidRPr="009759F0">
      <w:fldChar w:fldCharType="end"/>
    </w:r>
  </w:p>
  <w:p w14:paraId="6B9C0F95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5D0EB605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E7DB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AEC8B50" w14:textId="77777777" w:rsidR="00655FC5" w:rsidRPr="00374220" w:rsidRDefault="0065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2F61" w14:textId="77777777" w:rsidR="00484878" w:rsidRDefault="00484878">
      <w:pPr>
        <w:spacing w:after="0" w:line="240" w:lineRule="auto"/>
      </w:pPr>
      <w:r>
        <w:separator/>
      </w:r>
    </w:p>
  </w:footnote>
  <w:footnote w:type="continuationSeparator" w:id="0">
    <w:p w14:paraId="04D39937" w14:textId="77777777" w:rsidR="00484878" w:rsidRDefault="0048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42DF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6E639F"/>
    <w:multiLevelType w:val="hybridMultilevel"/>
    <w:tmpl w:val="AE628E66"/>
    <w:lvl w:ilvl="0" w:tplc="39666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5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9899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4779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55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56A39"/>
    <w:rsid w:val="000E3118"/>
    <w:rsid w:val="001047A5"/>
    <w:rsid w:val="00105D09"/>
    <w:rsid w:val="00167135"/>
    <w:rsid w:val="001C7837"/>
    <w:rsid w:val="002006CF"/>
    <w:rsid w:val="00205578"/>
    <w:rsid w:val="002726D2"/>
    <w:rsid w:val="002B45B0"/>
    <w:rsid w:val="00313453"/>
    <w:rsid w:val="003922FC"/>
    <w:rsid w:val="00397E91"/>
    <w:rsid w:val="00484878"/>
    <w:rsid w:val="005F76BA"/>
    <w:rsid w:val="00655FC5"/>
    <w:rsid w:val="006707F7"/>
    <w:rsid w:val="00774C64"/>
    <w:rsid w:val="007A6EA7"/>
    <w:rsid w:val="007B6ABB"/>
    <w:rsid w:val="007F30FE"/>
    <w:rsid w:val="00830EEC"/>
    <w:rsid w:val="00876E2F"/>
    <w:rsid w:val="008815DD"/>
    <w:rsid w:val="008908C7"/>
    <w:rsid w:val="009A4256"/>
    <w:rsid w:val="009C0893"/>
    <w:rsid w:val="00A538D0"/>
    <w:rsid w:val="00AB43BE"/>
    <w:rsid w:val="00B31B7E"/>
    <w:rsid w:val="00BD5488"/>
    <w:rsid w:val="00BF7F4D"/>
    <w:rsid w:val="00C37421"/>
    <w:rsid w:val="00C96D2C"/>
    <w:rsid w:val="00CC6343"/>
    <w:rsid w:val="00DD6F31"/>
    <w:rsid w:val="00DF2713"/>
    <w:rsid w:val="00E56C48"/>
    <w:rsid w:val="00EE7588"/>
    <w:rsid w:val="00F13199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A62A"/>
  <w15:docId w15:val="{D48F43F6-70BB-4DA3-90D2-07B82D27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CC6343"/>
    <w:rPr>
      <w:kern w:val="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CC6343"/>
    <w:rPr>
      <w:kern w:val="0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locked/>
    <w:rsid w:val="00774C64"/>
    <w:rPr>
      <w:sz w:val="24"/>
      <w:szCs w:val="24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Jekaterina Tihomirova</cp:lastModifiedBy>
  <cp:revision>3</cp:revision>
  <dcterms:created xsi:type="dcterms:W3CDTF">2024-02-07T09:25:00Z</dcterms:created>
  <dcterms:modified xsi:type="dcterms:W3CDTF">2024-02-07T09:25:00Z</dcterms:modified>
</cp:coreProperties>
</file>